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5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675"/>
      </w:tblGrid>
      <w:tr w:rsidR="008F0BD7" w:rsidTr="00D71455">
        <w:tc>
          <w:tcPr>
            <w:tcW w:w="5580" w:type="dxa"/>
          </w:tcPr>
          <w:p w:rsidR="008F0BD7" w:rsidRDefault="008F0BD7" w:rsidP="00DC7A5D">
            <w:pPr>
              <w:pStyle w:val="Heading3"/>
              <w:spacing w:after="0" w:line="240" w:lineRule="auto"/>
              <w:ind w:left="0" w:right="-670" w:firstLine="0"/>
              <w:jc w:val="both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eastAsia="fr-FR"/>
              </w:rPr>
              <w:t xml:space="preserve">     </w:t>
            </w:r>
            <w:r>
              <w:rPr>
                <w:noProof/>
                <w:lang w:eastAsia="en-US"/>
              </w:rPr>
              <w:drawing>
                <wp:inline distT="0" distB="0" distL="0" distR="0" wp14:anchorId="3137A144" wp14:editId="3E32860B">
                  <wp:extent cx="1593850" cy="57528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963" cy="624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eastAsia="fr-FR"/>
              </w:rPr>
              <w:t xml:space="preserve">     </w:t>
            </w:r>
          </w:p>
        </w:tc>
        <w:tc>
          <w:tcPr>
            <w:tcW w:w="5675" w:type="dxa"/>
          </w:tcPr>
          <w:p w:rsidR="008F0BD7" w:rsidRDefault="008F0BD7" w:rsidP="00D71455">
            <w:pPr>
              <w:pStyle w:val="Heading3"/>
              <w:numPr>
                <w:ilvl w:val="0"/>
                <w:numId w:val="0"/>
              </w:numPr>
              <w:spacing w:after="0" w:line="240" w:lineRule="auto"/>
              <w:ind w:left="-1010" w:right="34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56617A0B" wp14:editId="7493EB02">
                  <wp:extent cx="1328022" cy="620000"/>
                  <wp:effectExtent l="0" t="0" r="571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22" cy="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455" w:rsidRPr="00D71455" w:rsidRDefault="00D71455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  <w:lang w:val="fr-FR"/>
        </w:rPr>
      </w:pPr>
    </w:p>
    <w:p w:rsidR="008F0BD7" w:rsidRPr="00DC7A5D" w:rsidRDefault="008F0BD7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  <w:lang w:val="fr-FR"/>
        </w:rPr>
      </w:pPr>
      <w:r w:rsidRPr="00DC7A5D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Bourses Doctorales CNRS-L/USJ</w:t>
      </w:r>
    </w:p>
    <w:p w:rsidR="008F0BD7" w:rsidRPr="00DC7A5D" w:rsidRDefault="00322796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</w:rPr>
      </w:pPr>
      <w:r w:rsidRPr="00DC7A5D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2019-2020</w:t>
      </w:r>
    </w:p>
    <w:p w:rsidR="008F0BD7" w:rsidRPr="008F0BD7" w:rsidRDefault="008F0BD7" w:rsidP="008F0BD7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</w:pPr>
      <w:r w:rsidRPr="008F0BD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Bourses réservées aux candidats souhaitant préparer un doctorat à l’Université Saint-Joseph </w:t>
      </w:r>
    </w:p>
    <w:p w:rsidR="008F0BD7" w:rsidRDefault="008F0BD7" w:rsidP="00430A48">
      <w:pPr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 le cadre de l’accord entre l</w:t>
      </w:r>
      <w:r w:rsidRPr="007A42C8">
        <w:rPr>
          <w:rFonts w:asciiTheme="minorHAnsi" w:hAnsiTheme="minorHAnsi" w:cstheme="minorHAnsi"/>
          <w:lang w:val="fr-FR"/>
        </w:rPr>
        <w:t xml:space="preserve">e Conseil National de la Recherche Scientifique de la République Libanaise (CNRS-L) et </w:t>
      </w:r>
      <w:r>
        <w:rPr>
          <w:rFonts w:asciiTheme="minorHAnsi" w:hAnsiTheme="minorHAnsi" w:cstheme="minorHAnsi"/>
          <w:lang w:val="fr-FR"/>
        </w:rPr>
        <w:t xml:space="preserve">l’Université Saint-Joseph pour le co-financement des thèses de doctorat dans des thématiques </w:t>
      </w:r>
      <w:r w:rsidRPr="007A42C8">
        <w:rPr>
          <w:rFonts w:asciiTheme="minorHAnsi" w:hAnsiTheme="minorHAnsi" w:cstheme="minorHAnsi"/>
          <w:lang w:val="fr-FR"/>
        </w:rPr>
        <w:t>d’intérêt commun</w:t>
      </w:r>
      <w:r>
        <w:rPr>
          <w:rFonts w:asciiTheme="minorHAnsi" w:hAnsiTheme="minorHAnsi" w:cstheme="minorHAnsi"/>
          <w:lang w:val="fr-FR"/>
        </w:rPr>
        <w:t>,</w:t>
      </w:r>
      <w:r w:rsidRPr="007A42C8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douze </w:t>
      </w:r>
      <w:r w:rsidRPr="007A42C8">
        <w:rPr>
          <w:rFonts w:asciiTheme="minorHAnsi" w:hAnsiTheme="minorHAnsi" w:cstheme="minorHAnsi"/>
          <w:lang w:val="fr-FR"/>
        </w:rPr>
        <w:t xml:space="preserve">contrats de recherches doctorales pour l’année </w:t>
      </w:r>
      <w:r w:rsidR="00322796">
        <w:rPr>
          <w:rFonts w:asciiTheme="minorHAnsi" w:hAnsiTheme="minorHAnsi" w:cstheme="minorHAnsi"/>
          <w:lang w:val="fr-FR"/>
        </w:rPr>
        <w:t>2019-2020</w:t>
      </w:r>
      <w:r w:rsidRPr="007A42C8">
        <w:rPr>
          <w:rFonts w:asciiTheme="minorHAnsi" w:hAnsiTheme="minorHAnsi" w:cstheme="minorHAnsi"/>
          <w:lang w:val="fr-FR"/>
        </w:rPr>
        <w:t xml:space="preserve"> seront mis en place</w:t>
      </w:r>
      <w:r>
        <w:rPr>
          <w:rFonts w:asciiTheme="minorHAnsi" w:hAnsiTheme="minorHAnsi" w:cstheme="minorHAnsi"/>
          <w:lang w:val="fr-FR"/>
        </w:rPr>
        <w:t>.</w:t>
      </w:r>
      <w:r w:rsidRPr="007A42C8">
        <w:rPr>
          <w:rFonts w:asciiTheme="minorHAnsi" w:hAnsiTheme="minorHAnsi" w:cstheme="minorHAnsi"/>
          <w:lang w:val="fr-FR"/>
        </w:rPr>
        <w:t xml:space="preserve"> </w:t>
      </w:r>
    </w:p>
    <w:p w:rsidR="00F53414" w:rsidRPr="00A5196F" w:rsidRDefault="00F53414" w:rsidP="00F53414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t>Conditions d’éligibilité</w:t>
      </w:r>
      <w:r w:rsidRPr="00A5196F">
        <w:rPr>
          <w:rFonts w:asciiTheme="minorHAnsi" w:hAnsiTheme="minorHAnsi" w:cstheme="minorHAnsi"/>
          <w:u w:val="single"/>
          <w:lang w:val="fr-FR"/>
        </w:rPr>
        <w:t> </w:t>
      </w:r>
    </w:p>
    <w:p w:rsidR="00F53414" w:rsidRPr="000C5B54" w:rsidRDefault="00F53414" w:rsidP="00F53414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Ces </w:t>
      </w:r>
      <w:r>
        <w:rPr>
          <w:rFonts w:asciiTheme="minorHAnsi" w:hAnsiTheme="minorHAnsi" w:cstheme="minorHAnsi"/>
          <w:lang w:val="fr-FR"/>
        </w:rPr>
        <w:t>bourses</w:t>
      </w:r>
      <w:r w:rsidRPr="007A42C8">
        <w:rPr>
          <w:rFonts w:asciiTheme="minorHAnsi" w:hAnsiTheme="minorHAnsi" w:cstheme="minorHAnsi"/>
          <w:lang w:val="fr-FR"/>
        </w:rPr>
        <w:t xml:space="preserve"> sont exclusivement destiné</w:t>
      </w:r>
      <w:r>
        <w:rPr>
          <w:rFonts w:asciiTheme="minorHAnsi" w:hAnsiTheme="minorHAnsi" w:cstheme="minorHAnsi"/>
          <w:lang w:val="fr-FR"/>
        </w:rPr>
        <w:t>e</w:t>
      </w:r>
      <w:r w:rsidRPr="007A42C8">
        <w:rPr>
          <w:rFonts w:asciiTheme="minorHAnsi" w:hAnsiTheme="minorHAnsi" w:cstheme="minorHAnsi"/>
          <w:lang w:val="fr-FR"/>
        </w:rPr>
        <w:t xml:space="preserve">s à des étudiants </w:t>
      </w:r>
      <w:r>
        <w:rPr>
          <w:rFonts w:asciiTheme="minorHAnsi" w:hAnsiTheme="minorHAnsi" w:cstheme="minorHAnsi"/>
          <w:lang w:val="fr-FR"/>
        </w:rPr>
        <w:t xml:space="preserve">libanais </w:t>
      </w:r>
      <w:r w:rsidRPr="007A42C8">
        <w:rPr>
          <w:rFonts w:asciiTheme="minorHAnsi" w:hAnsiTheme="minorHAnsi" w:cstheme="minorHAnsi"/>
          <w:lang w:val="fr-FR"/>
        </w:rPr>
        <w:t>titulaires</w:t>
      </w:r>
      <w:r>
        <w:rPr>
          <w:rFonts w:asciiTheme="minorHAnsi" w:hAnsiTheme="minorHAnsi" w:cstheme="minorHAnsi"/>
          <w:lang w:val="fr-FR"/>
        </w:rPr>
        <w:t xml:space="preserve"> (ou en cours de préparation)</w:t>
      </w:r>
      <w:r w:rsidRPr="007A42C8">
        <w:rPr>
          <w:rFonts w:asciiTheme="minorHAnsi" w:hAnsiTheme="minorHAnsi" w:cstheme="minorHAnsi"/>
          <w:lang w:val="fr-FR"/>
        </w:rPr>
        <w:t xml:space="preserve"> d’un diplôme de Master </w:t>
      </w:r>
      <w:r>
        <w:rPr>
          <w:rFonts w:asciiTheme="minorHAnsi" w:hAnsiTheme="minorHAnsi" w:cstheme="minorHAnsi"/>
          <w:lang w:val="fr-FR"/>
        </w:rPr>
        <w:t xml:space="preserve">Recherche </w:t>
      </w:r>
      <w:r w:rsidRPr="007A42C8">
        <w:rPr>
          <w:rFonts w:asciiTheme="minorHAnsi" w:hAnsiTheme="minorHAnsi" w:cstheme="minorHAnsi"/>
          <w:lang w:val="fr-FR"/>
        </w:rPr>
        <w:t>(ou équivalent) reconnu comm</w:t>
      </w:r>
      <w:r>
        <w:rPr>
          <w:rFonts w:asciiTheme="minorHAnsi" w:hAnsiTheme="minorHAnsi" w:cstheme="minorHAnsi"/>
          <w:lang w:val="fr-FR"/>
        </w:rPr>
        <w:t>e tel par les deux institutions (CNRS-L et USJ)</w:t>
      </w:r>
      <w:r w:rsidRPr="007A42C8">
        <w:rPr>
          <w:rFonts w:asciiTheme="minorHAnsi" w:hAnsiTheme="minorHAnsi" w:cstheme="minorHAnsi"/>
          <w:lang w:val="fr-FR"/>
        </w:rPr>
        <w:t xml:space="preserve">. </w:t>
      </w:r>
      <w:r>
        <w:rPr>
          <w:rFonts w:asciiTheme="minorHAnsi" w:hAnsiTheme="minorHAnsi" w:cstheme="minorHAnsi"/>
          <w:lang w:val="fr-FR"/>
        </w:rPr>
        <w:t>Considéré éligible, tout candidat ayant la nationalité libanaise depuis plus de 10 ans, âgé de moins de 30 ans à sa première année de thèse, et ayant 85/100 (système anglo-saxon) comme moyenne générale en fin de Master Recherche (ou équivalent).</w:t>
      </w:r>
      <w:r w:rsidRPr="000C5B54">
        <w:rPr>
          <w:rFonts w:asciiTheme="minorHAnsi" w:hAnsiTheme="minorHAnsi" w:cstheme="minorHAnsi"/>
          <w:lang w:val="fr-FR"/>
        </w:rPr>
        <w:t xml:space="preserve"> 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t xml:space="preserve">Outre les conditions d’éligibilité mentionnées ci-dessus, les </w:t>
      </w:r>
      <w:r>
        <w:rPr>
          <w:rFonts w:asciiTheme="minorHAnsi" w:hAnsiTheme="minorHAnsi"/>
          <w:lang w:val="fr-FR"/>
        </w:rPr>
        <w:t>bourses doctorales</w:t>
      </w:r>
      <w:r w:rsidRPr="000C5B54">
        <w:rPr>
          <w:rFonts w:asciiTheme="minorHAnsi" w:hAnsiTheme="minorHAnsi"/>
          <w:lang w:val="fr-FR"/>
        </w:rPr>
        <w:t xml:space="preserve"> du CNRS-L sont soumises aux restrictions suivantes</w:t>
      </w:r>
      <w:r>
        <w:rPr>
          <w:rFonts w:asciiTheme="minorHAnsi" w:hAnsiTheme="minorHAnsi"/>
          <w:lang w:val="fr-FR"/>
        </w:rPr>
        <w:t> :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- </w:t>
      </w:r>
      <w:r w:rsidRPr="000C5B54">
        <w:rPr>
          <w:rFonts w:asciiTheme="minorHAnsi" w:hAnsiTheme="minorHAnsi"/>
          <w:lang w:val="fr-FR"/>
        </w:rPr>
        <w:t>le boursier</w:t>
      </w:r>
      <w:r>
        <w:rPr>
          <w:rFonts w:asciiTheme="minorHAnsi" w:hAnsiTheme="minorHAnsi"/>
          <w:lang w:val="fr-FR"/>
        </w:rPr>
        <w:t xml:space="preserve"> du</w:t>
      </w:r>
      <w:r w:rsidRPr="000C5B54">
        <w:rPr>
          <w:rFonts w:asciiTheme="minorHAnsi" w:hAnsiTheme="minorHAnsi"/>
          <w:lang w:val="fr-FR"/>
        </w:rPr>
        <w:t xml:space="preserve"> CNRS-L ne peut pas </w:t>
      </w:r>
      <w:r>
        <w:rPr>
          <w:rFonts w:asciiTheme="minorHAnsi" w:hAnsiTheme="minorHAnsi"/>
          <w:lang w:val="fr-FR"/>
        </w:rPr>
        <w:t xml:space="preserve">exercer de travail rémunéré ni ne </w:t>
      </w:r>
      <w:r w:rsidRPr="000C5B54">
        <w:rPr>
          <w:rFonts w:asciiTheme="minorHAnsi" w:hAnsiTheme="minorHAnsi"/>
          <w:lang w:val="fr-FR"/>
        </w:rPr>
        <w:t xml:space="preserve">peut bénéficier d'une subvention supplémentaire de </w:t>
      </w:r>
      <w:r>
        <w:rPr>
          <w:rFonts w:asciiTheme="minorHAnsi" w:hAnsiTheme="minorHAnsi"/>
          <w:lang w:val="fr-FR"/>
        </w:rPr>
        <w:t>toute autre source en dehors de l’accord-cadre</w:t>
      </w:r>
      <w:r w:rsidRPr="000C5B54">
        <w:rPr>
          <w:rFonts w:asciiTheme="minorHAnsi" w:hAnsiTheme="minorHAnsi"/>
          <w:lang w:val="fr-FR"/>
        </w:rPr>
        <w:t xml:space="preserve"> CNRS-L</w:t>
      </w:r>
      <w:r>
        <w:rPr>
          <w:rFonts w:asciiTheme="minorHAnsi" w:hAnsiTheme="minorHAnsi"/>
          <w:lang w:val="fr-FR"/>
        </w:rPr>
        <w:t xml:space="preserve">/USJ ; </w:t>
      </w:r>
    </w:p>
    <w:p w:rsidR="00F5341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t xml:space="preserve">- la bourse est accordée aux candidats </w:t>
      </w:r>
      <w:r>
        <w:rPr>
          <w:rFonts w:asciiTheme="minorHAnsi" w:hAnsiTheme="minorHAnsi"/>
          <w:lang w:val="fr-FR"/>
        </w:rPr>
        <w:t>à la</w:t>
      </w:r>
      <w:r w:rsidRPr="000C5B54">
        <w:rPr>
          <w:rFonts w:asciiTheme="minorHAnsi" w:hAnsiTheme="minorHAnsi"/>
          <w:lang w:val="fr-FR"/>
        </w:rPr>
        <w:t xml:space="preserve"> première</w:t>
      </w:r>
      <w:r>
        <w:rPr>
          <w:rFonts w:asciiTheme="minorHAnsi" w:hAnsiTheme="minorHAnsi"/>
          <w:lang w:val="fr-FR"/>
        </w:rPr>
        <w:t xml:space="preserve"> ou la </w:t>
      </w:r>
      <w:r w:rsidRPr="000C5B54">
        <w:rPr>
          <w:rFonts w:asciiTheme="minorHAnsi" w:hAnsiTheme="minorHAnsi"/>
          <w:lang w:val="fr-FR"/>
        </w:rPr>
        <w:t>deuxième année</w:t>
      </w:r>
      <w:r>
        <w:rPr>
          <w:rFonts w:asciiTheme="minorHAnsi" w:hAnsiTheme="minorHAnsi"/>
          <w:lang w:val="fr-FR"/>
        </w:rPr>
        <w:t> de doctorat ;</w:t>
      </w:r>
    </w:p>
    <w:p w:rsidR="00F53414" w:rsidRDefault="00F53414" w:rsidP="00F53414">
      <w:pPr>
        <w:ind w:right="-720"/>
        <w:jc w:val="both"/>
        <w:rPr>
          <w:rFonts w:asciiTheme="minorHAnsi" w:hAnsiTheme="minorHAnsi"/>
          <w:rtl/>
          <w:lang w:val="fr-FR"/>
        </w:rPr>
      </w:pPr>
      <w:r>
        <w:rPr>
          <w:rFonts w:asciiTheme="minorHAnsi" w:hAnsiTheme="minorHAnsi"/>
          <w:lang w:val="fr-FR"/>
        </w:rPr>
        <w:t>- à l’annonce des résultats, le candidat doit se prononcer sur son intention d’accepter ou de refuser la bourse, et cela par un courrier officiel adressé à l’USJ et au CNRS-L.  Dans le cas d’un désistement, le candidat doit justifier les raisons et les motivations de sa décision ;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- l</w:t>
      </w:r>
      <w:r w:rsidRPr="00005F6B">
        <w:rPr>
          <w:rFonts w:asciiTheme="minorHAnsi" w:hAnsiTheme="minorHAnsi"/>
          <w:lang w:val="fr-FR"/>
        </w:rPr>
        <w:t xml:space="preserve">e bénéficiaire </w:t>
      </w:r>
      <w:r>
        <w:rPr>
          <w:rFonts w:asciiTheme="minorHAnsi" w:hAnsiTheme="minorHAnsi"/>
          <w:lang w:val="fr-FR"/>
        </w:rPr>
        <w:t>d’une bourse CNRS-L</w:t>
      </w:r>
      <w:r w:rsidRPr="00005F6B">
        <w:rPr>
          <w:rFonts w:asciiTheme="minorHAnsi" w:hAnsiTheme="minorHAnsi"/>
          <w:lang w:val="fr-FR"/>
        </w:rPr>
        <w:t xml:space="preserve"> doit</w:t>
      </w:r>
      <w:r>
        <w:rPr>
          <w:rFonts w:asciiTheme="minorHAnsi" w:hAnsiTheme="minorHAnsi"/>
          <w:lang w:val="fr-FR"/>
        </w:rPr>
        <w:t>,</w:t>
      </w:r>
      <w:r w:rsidRPr="00005F6B">
        <w:rPr>
          <w:rFonts w:asciiTheme="minorHAnsi" w:hAnsiTheme="minorHAnsi"/>
          <w:lang w:val="fr-FR"/>
        </w:rPr>
        <w:t xml:space="preserve"> clairement et explicitement</w:t>
      </w:r>
      <w:r>
        <w:rPr>
          <w:rFonts w:asciiTheme="minorHAnsi" w:hAnsiTheme="minorHAnsi"/>
          <w:lang w:val="fr-FR"/>
        </w:rPr>
        <w:t>,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faire mention de son programme de financement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(CNRS-L/USJ) dans toute sorte de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publications</w:t>
      </w:r>
      <w:r w:rsidRPr="00005F6B">
        <w:rPr>
          <w:rFonts w:asciiTheme="minorHAnsi" w:hAnsiTheme="minorHAnsi"/>
          <w:lang w:val="fr-FR"/>
        </w:rPr>
        <w:t xml:space="preserve"> et contributi</w:t>
      </w:r>
      <w:r>
        <w:rPr>
          <w:rFonts w:asciiTheme="minorHAnsi" w:hAnsiTheme="minorHAnsi"/>
          <w:lang w:val="fr-FR"/>
        </w:rPr>
        <w:t>ons scientifiques liées au travail de la thèse (articles, présentations orales, posters,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actes de colloques, etc.) ;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lastRenderedPageBreak/>
        <w:t xml:space="preserve">- en cas </w:t>
      </w:r>
      <w:r>
        <w:rPr>
          <w:rFonts w:asciiTheme="minorHAnsi" w:hAnsiTheme="minorHAnsi"/>
          <w:lang w:val="fr-FR"/>
        </w:rPr>
        <w:t>de manquement à ces règlements</w:t>
      </w:r>
      <w:r w:rsidRPr="000C5B54">
        <w:rPr>
          <w:rFonts w:asciiTheme="minorHAnsi" w:hAnsiTheme="minorHAnsi"/>
          <w:lang w:val="fr-FR"/>
        </w:rPr>
        <w:t xml:space="preserve">, la bourse est </w:t>
      </w:r>
      <w:r>
        <w:rPr>
          <w:rFonts w:asciiTheme="minorHAnsi" w:hAnsiTheme="minorHAnsi"/>
          <w:lang w:val="fr-FR"/>
        </w:rPr>
        <w:t>mise à terme</w:t>
      </w:r>
      <w:r w:rsidRPr="000C5B54">
        <w:rPr>
          <w:rFonts w:asciiTheme="minorHAnsi" w:hAnsiTheme="minorHAnsi"/>
          <w:lang w:val="fr-FR"/>
        </w:rPr>
        <w:t xml:space="preserve"> et le boursier s’engage à rembourser tous les fonds qu’il a déjà reçus de la part du CNRS-L.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Il convient de noter que</w:t>
      </w:r>
      <w:r w:rsidRPr="000C5B54">
        <w:rPr>
          <w:rFonts w:asciiTheme="minorHAnsi" w:hAnsiTheme="minorHAnsi"/>
          <w:lang w:val="fr-FR"/>
        </w:rPr>
        <w:t xml:space="preserve"> pour l’obtention de la bourse CNRS-L/U</w:t>
      </w:r>
      <w:r>
        <w:rPr>
          <w:rFonts w:asciiTheme="minorHAnsi" w:hAnsiTheme="minorHAnsi"/>
          <w:lang w:val="fr-FR"/>
        </w:rPr>
        <w:t>SJ</w:t>
      </w:r>
      <w:r w:rsidRPr="000C5B54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>le doctorant d</w:t>
      </w:r>
      <w:r w:rsidRPr="000C5B54">
        <w:rPr>
          <w:rFonts w:asciiTheme="minorHAnsi" w:hAnsiTheme="minorHAnsi"/>
          <w:lang w:val="fr-FR"/>
        </w:rPr>
        <w:t xml:space="preserve">oit </w:t>
      </w:r>
      <w:r>
        <w:rPr>
          <w:rFonts w:asciiTheme="minorHAnsi" w:hAnsiTheme="minorHAnsi"/>
          <w:lang w:val="fr-FR"/>
        </w:rPr>
        <w:t>se</w:t>
      </w:r>
      <w:r w:rsidRPr="000C5B54">
        <w:rPr>
          <w:rFonts w:asciiTheme="minorHAnsi" w:hAnsiTheme="minorHAnsi"/>
          <w:lang w:val="fr-FR"/>
        </w:rPr>
        <w:t xml:space="preserve"> consacr</w:t>
      </w:r>
      <w:r>
        <w:rPr>
          <w:rFonts w:asciiTheme="minorHAnsi" w:hAnsiTheme="minorHAnsi"/>
          <w:lang w:val="fr-FR"/>
        </w:rPr>
        <w:t>er</w:t>
      </w:r>
      <w:r w:rsidRPr="000C5B5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 xml:space="preserve">à </w:t>
      </w:r>
      <w:r w:rsidRPr="000C5B54">
        <w:rPr>
          <w:rFonts w:asciiTheme="minorHAnsi" w:hAnsiTheme="minorHAnsi"/>
          <w:lang w:val="fr-FR"/>
        </w:rPr>
        <w:t xml:space="preserve">temps plein à son travail </w:t>
      </w:r>
      <w:r>
        <w:rPr>
          <w:rFonts w:asciiTheme="minorHAnsi" w:hAnsiTheme="minorHAnsi"/>
          <w:lang w:val="fr-FR"/>
        </w:rPr>
        <w:t xml:space="preserve">de thèse et que la thèse peut se préparer dans le cadre d’une cotutelle, ou d’une codirection avec un établissement étranger. 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i/>
          <w:iCs/>
          <w:u w:val="single"/>
          <w:lang w:val="fr-FR"/>
        </w:rPr>
        <w:t>Critères de sélection</w:t>
      </w:r>
      <w:r w:rsidRPr="000C5B54">
        <w:rPr>
          <w:rFonts w:asciiTheme="minorHAnsi" w:hAnsiTheme="minorHAnsi" w:cstheme="minorHAnsi"/>
          <w:i/>
          <w:iCs/>
          <w:u w:val="single"/>
          <w:lang w:val="fr-FR"/>
        </w:rPr>
        <w:t xml:space="preserve"> et </w:t>
      </w:r>
      <w:r>
        <w:rPr>
          <w:rFonts w:asciiTheme="minorHAnsi" w:hAnsiTheme="minorHAnsi" w:cstheme="minorHAnsi"/>
          <w:i/>
          <w:iCs/>
          <w:u w:val="single"/>
          <w:lang w:val="fr-FR"/>
        </w:rPr>
        <w:t>t</w:t>
      </w:r>
      <w:r w:rsidRPr="000C5B54">
        <w:rPr>
          <w:rFonts w:asciiTheme="minorHAnsi" w:hAnsiTheme="minorHAnsi" w:cstheme="minorHAnsi"/>
          <w:i/>
          <w:iCs/>
          <w:u w:val="single"/>
          <w:lang w:val="fr-FR"/>
        </w:rPr>
        <w:t>hématiques pri</w:t>
      </w:r>
      <w:r>
        <w:rPr>
          <w:rFonts w:asciiTheme="minorHAnsi" w:hAnsiTheme="minorHAnsi" w:cstheme="minorHAnsi"/>
          <w:i/>
          <w:iCs/>
          <w:u w:val="single"/>
          <w:lang w:val="fr-FR"/>
        </w:rPr>
        <w:t>oritaires pour l’année 2019-2020</w:t>
      </w:r>
    </w:p>
    <w:p w:rsidR="00F53414" w:rsidRDefault="00F53414" w:rsidP="00DC7A5D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L’excellence du candidat et son parcours, l’expertise de l’encadrant et la cohérence de ses activités de recherche, ainsi que </w:t>
      </w:r>
      <w:r w:rsidRPr="000C5B54">
        <w:rPr>
          <w:rFonts w:asciiTheme="minorHAnsi" w:hAnsiTheme="minorHAnsi"/>
          <w:lang w:val="fr-FR"/>
        </w:rPr>
        <w:t xml:space="preserve">la pertinence du sujet </w:t>
      </w:r>
      <w:r>
        <w:rPr>
          <w:rFonts w:asciiTheme="minorHAnsi" w:hAnsiTheme="minorHAnsi"/>
          <w:lang w:val="fr-FR"/>
        </w:rPr>
        <w:t xml:space="preserve">par rapport </w:t>
      </w:r>
      <w:r w:rsidRPr="000C5B54">
        <w:rPr>
          <w:rFonts w:asciiTheme="minorHAnsi" w:hAnsiTheme="minorHAnsi"/>
          <w:lang w:val="fr-FR"/>
        </w:rPr>
        <w:t>aux thématiques prioritaires définies pour cette année</w:t>
      </w:r>
      <w:r>
        <w:rPr>
          <w:rFonts w:asciiTheme="minorHAnsi" w:hAnsiTheme="minorHAnsi"/>
          <w:lang w:val="fr-FR"/>
        </w:rPr>
        <w:t xml:space="preserve"> (voir </w:t>
      </w:r>
      <w:r w:rsidR="00DC7A5D">
        <w:rPr>
          <w:rFonts w:asciiTheme="minorHAnsi" w:hAnsiTheme="minorHAnsi"/>
          <w:lang w:val="fr-FR"/>
        </w:rPr>
        <w:t>annexe) *</w:t>
      </w:r>
      <w:r>
        <w:rPr>
          <w:rFonts w:asciiTheme="minorHAnsi" w:hAnsiTheme="minorHAnsi"/>
          <w:lang w:val="fr-FR"/>
        </w:rPr>
        <w:t xml:space="preserve"> et son lien avec les défis sociétaux</w:t>
      </w:r>
      <w:r w:rsidRPr="000C5B54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 xml:space="preserve">font à titre d’exemple partie intégrante </w:t>
      </w:r>
      <w:r w:rsidR="00DC7A5D">
        <w:rPr>
          <w:rFonts w:asciiTheme="minorHAnsi" w:hAnsiTheme="minorHAnsi"/>
          <w:lang w:val="fr-FR"/>
        </w:rPr>
        <w:t>du mécanisme d’évaluation</w:t>
      </w:r>
      <w:r>
        <w:rPr>
          <w:rFonts w:asciiTheme="minorHAnsi" w:hAnsiTheme="minorHAnsi"/>
          <w:lang w:val="fr-FR"/>
        </w:rPr>
        <w:t>. A savoir également que la priorité sera donnée aux demandes dont le sujet de</w:t>
      </w:r>
      <w:r w:rsidRPr="000C5B5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thèse est lié</w:t>
      </w:r>
      <w:r w:rsidRPr="000C5B54">
        <w:rPr>
          <w:rFonts w:asciiTheme="minorHAnsi" w:hAnsiTheme="minorHAnsi"/>
          <w:lang w:val="fr-FR"/>
        </w:rPr>
        <w:t xml:space="preserve"> à un projet de recherche financé</w:t>
      </w:r>
      <w:r>
        <w:rPr>
          <w:rFonts w:asciiTheme="minorHAnsi" w:hAnsiTheme="minorHAnsi"/>
          <w:lang w:val="fr-FR"/>
        </w:rPr>
        <w:t>, partiellement ou intégralement,</w:t>
      </w:r>
      <w:r w:rsidR="00DC7A5D">
        <w:rPr>
          <w:rFonts w:asciiTheme="minorHAnsi" w:hAnsiTheme="minorHAnsi"/>
          <w:lang w:val="fr-FR"/>
        </w:rPr>
        <w:t xml:space="preserve"> par l’USJ et/ou le</w:t>
      </w:r>
      <w:r w:rsidRPr="000C5B54">
        <w:rPr>
          <w:rFonts w:asciiTheme="minorHAnsi" w:hAnsiTheme="minorHAnsi"/>
          <w:lang w:val="fr-FR"/>
        </w:rPr>
        <w:t xml:space="preserve"> CNRS-L (GRP, ARU, </w:t>
      </w:r>
      <w:r>
        <w:rPr>
          <w:rFonts w:asciiTheme="minorHAnsi" w:hAnsiTheme="minorHAnsi"/>
          <w:lang w:val="fr-FR"/>
        </w:rPr>
        <w:t xml:space="preserve">CEDRE, CNRS-AUF, </w:t>
      </w:r>
      <w:r w:rsidRPr="000C5B54">
        <w:rPr>
          <w:rFonts w:asciiTheme="minorHAnsi" w:hAnsiTheme="minorHAnsi"/>
          <w:lang w:val="fr-FR"/>
        </w:rPr>
        <w:t xml:space="preserve">etc.). </w:t>
      </w:r>
      <w:r>
        <w:rPr>
          <w:rFonts w:asciiTheme="minorHAnsi" w:hAnsiTheme="minorHAnsi"/>
          <w:lang w:val="fr-FR"/>
        </w:rPr>
        <w:t>D’autre part, et en harmonie avec l</w:t>
      </w:r>
      <w:r w:rsidRPr="000C5B54">
        <w:rPr>
          <w:rFonts w:asciiTheme="minorHAnsi" w:hAnsiTheme="minorHAnsi"/>
          <w:lang w:val="fr-FR"/>
        </w:rPr>
        <w:t xml:space="preserve">a politique </w:t>
      </w:r>
      <w:r>
        <w:rPr>
          <w:rFonts w:asciiTheme="minorHAnsi" w:hAnsiTheme="minorHAnsi"/>
          <w:lang w:val="fr-FR"/>
        </w:rPr>
        <w:t xml:space="preserve">d’innovation du CNRS-L, </w:t>
      </w:r>
      <w:r w:rsidRPr="000C5B54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 xml:space="preserve">propositions </w:t>
      </w:r>
      <w:r w:rsidRPr="000C5B54">
        <w:rPr>
          <w:rFonts w:asciiTheme="minorHAnsi" w:hAnsiTheme="minorHAnsi"/>
          <w:lang w:val="fr-FR"/>
        </w:rPr>
        <w:t xml:space="preserve">à caractère </w:t>
      </w:r>
      <w:r>
        <w:rPr>
          <w:rFonts w:asciiTheme="minorHAnsi" w:hAnsiTheme="minorHAnsi"/>
          <w:lang w:val="fr-FR"/>
        </w:rPr>
        <w:t>innovant seront fortement encouragées cette année.</w:t>
      </w:r>
      <w:r w:rsidRPr="000C5B54">
        <w:rPr>
          <w:rFonts w:asciiTheme="minorHAnsi" w:hAnsiTheme="minorHAnsi"/>
          <w:lang w:val="fr-FR"/>
        </w:rPr>
        <w:t xml:space="preserve"> </w:t>
      </w:r>
    </w:p>
    <w:p w:rsidR="00F53414" w:rsidRPr="00DF4713" w:rsidRDefault="00F53414" w:rsidP="00F53414">
      <w:pPr>
        <w:ind w:right="-670"/>
        <w:jc w:val="both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DF4713">
        <w:rPr>
          <w:rFonts w:asciiTheme="minorHAnsi" w:hAnsiTheme="minorHAnsi"/>
          <w:i/>
          <w:iCs/>
          <w:sz w:val="20"/>
          <w:szCs w:val="20"/>
          <w:lang w:val="fr-FR"/>
        </w:rPr>
        <w:t>*</w:t>
      </w:r>
      <w:r w:rsidRPr="00DF4713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Il doit être cependant noté que si un candidat "exceptionnel" souhaite postuler sur une autre thémati</w:t>
      </w:r>
      <w:r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que, son dossier sera recevable, surtout quand il s’agit d’une thèse relevant d’un domaine d’excellence de l’université. </w:t>
      </w:r>
      <w:r w:rsidRPr="00DF4713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</w:p>
    <w:p w:rsidR="008F0BD7" w:rsidRDefault="00322796" w:rsidP="00430A48">
      <w:pPr>
        <w:ind w:right="-670"/>
        <w:jc w:val="both"/>
        <w:rPr>
          <w:rFonts w:asciiTheme="minorHAnsi" w:hAnsiTheme="minorHAnsi" w:cstheme="minorHAnsi"/>
          <w:b/>
          <w:bCs/>
          <w:lang w:val="fr-FR"/>
        </w:rPr>
      </w:pPr>
      <w:r w:rsidRPr="00430A48">
        <w:rPr>
          <w:rFonts w:asciiTheme="minorHAnsi" w:hAnsiTheme="minorHAnsi" w:cstheme="minorHAnsi"/>
          <w:b/>
          <w:bCs/>
          <w:lang w:val="fr-FR"/>
        </w:rPr>
        <w:t>Les dossiers seront déposés auprès du Vice-rectorat recherche de l’USJ</w:t>
      </w:r>
      <w:r w:rsidR="00430A48">
        <w:rPr>
          <w:rFonts w:asciiTheme="minorHAnsi" w:hAnsiTheme="minorHAnsi" w:cstheme="minorHAnsi"/>
          <w:b/>
          <w:bCs/>
          <w:lang w:val="fr-FR"/>
        </w:rPr>
        <w:t xml:space="preserve"> et en parallèle, </w:t>
      </w:r>
      <w:r w:rsidRPr="00430A48">
        <w:rPr>
          <w:rFonts w:asciiTheme="minorHAnsi" w:hAnsiTheme="minorHAnsi" w:cstheme="minorHAnsi"/>
          <w:b/>
          <w:bCs/>
          <w:lang w:val="fr-FR"/>
        </w:rPr>
        <w:t xml:space="preserve">le candidat devra envoyer une version électronique du dossier complet à </w:t>
      </w:r>
      <w:hyperlink r:id="rId7" w:history="1">
        <w:r w:rsidR="00430A48" w:rsidRPr="00430A48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fr-FR"/>
          </w:rPr>
          <w:t>tamara.elzein@cnrs.edu.lb</w:t>
        </w:r>
      </w:hyperlink>
      <w:r w:rsidRPr="00430A48">
        <w:rPr>
          <w:rFonts w:asciiTheme="minorHAnsi" w:hAnsiTheme="minorHAnsi" w:cstheme="minorHAnsi"/>
          <w:b/>
          <w:bCs/>
          <w:lang w:val="fr-FR"/>
        </w:rPr>
        <w:t>.</w:t>
      </w:r>
    </w:p>
    <w:p w:rsidR="00430A48" w:rsidRPr="00430A48" w:rsidRDefault="00430A48" w:rsidP="00430A48">
      <w:pPr>
        <w:ind w:right="-670"/>
        <w:jc w:val="both"/>
        <w:rPr>
          <w:rFonts w:asciiTheme="minorHAnsi" w:hAnsiTheme="minorHAnsi" w:cstheme="minorHAnsi"/>
          <w:b/>
          <w:bCs/>
          <w:lang w:val="fr-FR"/>
        </w:rPr>
      </w:pPr>
    </w:p>
    <w:p w:rsidR="008F0BD7" w:rsidRPr="002E1F60" w:rsidRDefault="008F0BD7" w:rsidP="00DC7A5D">
      <w:pPr>
        <w:pStyle w:val="Heading2"/>
        <w:spacing w:after="0" w:line="240" w:lineRule="auto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Pièces Constitutives du </w:t>
      </w:r>
      <w:r w:rsidRPr="002E1F60">
        <w:rPr>
          <w:rFonts w:asciiTheme="minorHAnsi" w:hAnsiTheme="minorHAnsi" w:cstheme="minorHAnsi"/>
          <w:color w:val="000000"/>
          <w:lang w:val="fr-FR"/>
        </w:rPr>
        <w:t>dossier de candidature</w:t>
      </w:r>
      <w:r w:rsidRPr="002E1F6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8F0BD7" w:rsidRPr="00022340" w:rsidRDefault="008F0BD7" w:rsidP="00FC3253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color w:val="000000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Dossier de candidature dûment rempli et signé</w:t>
      </w:r>
      <w:r w:rsidR="00430A48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FC3253" w:rsidRPr="00FC3253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à </w:t>
      </w:r>
      <w:r w:rsidR="00430A48" w:rsidRPr="00FC3253">
        <w:rPr>
          <w:rFonts w:cstheme="minorHAnsi"/>
          <w:i/>
          <w:iCs/>
          <w:color w:val="000000"/>
          <w:sz w:val="24"/>
          <w:szCs w:val="24"/>
          <w:lang w:val="fr-FR"/>
        </w:rPr>
        <w:t>télécharger</w:t>
      </w:r>
      <w:r w:rsidR="00430A48">
        <w:rPr>
          <w:rFonts w:cstheme="minorHAnsi"/>
          <w:color w:val="000000"/>
          <w:sz w:val="24"/>
          <w:szCs w:val="24"/>
          <w:lang w:val="fr-FR"/>
        </w:rPr>
        <w:t>)</w:t>
      </w:r>
    </w:p>
    <w:p w:rsidR="008F0BD7" w:rsidRPr="0051324C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Extrait d’état civil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51324C">
        <w:rPr>
          <w:rFonts w:hint="cs"/>
          <w:color w:val="000000"/>
          <w:sz w:val="24"/>
          <w:szCs w:val="24"/>
          <w:rtl/>
          <w:lang w:val="fr-FR" w:bidi="ar-LB"/>
        </w:rPr>
        <w:t>إخراج قيد فردي</w:t>
      </w:r>
      <w:r w:rsidR="0051324C">
        <w:rPr>
          <w:rFonts w:cstheme="minorHAnsi"/>
          <w:color w:val="000000"/>
          <w:sz w:val="24"/>
          <w:szCs w:val="24"/>
          <w:lang w:val="fr-FR"/>
        </w:rPr>
        <w:t>)</w:t>
      </w:r>
    </w:p>
    <w:p w:rsidR="0051324C" w:rsidRPr="00022340" w:rsidRDefault="0051324C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Photo d’identité  </w:t>
      </w:r>
      <w:r>
        <w:rPr>
          <w:rFonts w:cs="Arial" w:hint="cs"/>
          <w:color w:val="000000"/>
          <w:sz w:val="24"/>
          <w:szCs w:val="24"/>
          <w:rtl/>
          <w:lang w:val="fr-FR"/>
        </w:rPr>
        <w:t>صورة شمسية)</w:t>
      </w:r>
      <w:r>
        <w:rPr>
          <w:rFonts w:cstheme="minorHAnsi"/>
          <w:color w:val="000000"/>
          <w:sz w:val="24"/>
          <w:szCs w:val="24"/>
          <w:lang w:val="fr-FR"/>
        </w:rPr>
        <w:t>)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Copie du Baccalauréat libanais 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CV + copie des diplômes universitaires obtenus + relevé des notes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Lettre de motivation du candidat +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 deux lettres de recommandation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Documents Scientifiques (publications etc.)</w:t>
      </w:r>
    </w:p>
    <w:p w:rsidR="008F0BD7" w:rsidRPr="00C80086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Admission(s) </w:t>
      </w:r>
      <w:r w:rsidR="0051324C">
        <w:rPr>
          <w:rFonts w:cstheme="minorHAnsi"/>
          <w:color w:val="000000"/>
          <w:sz w:val="24"/>
          <w:szCs w:val="24"/>
          <w:lang w:val="fr-FR"/>
        </w:rPr>
        <w:t>en</w:t>
      </w:r>
      <w:r w:rsidRPr="00022340">
        <w:rPr>
          <w:rFonts w:cstheme="minorHAnsi"/>
          <w:color w:val="000000"/>
          <w:sz w:val="24"/>
          <w:szCs w:val="24"/>
          <w:lang w:val="fr-FR"/>
        </w:rPr>
        <w:t xml:space="preserve"> doctorat 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(USJ) et à l’étranger (si </w:t>
      </w:r>
      <w:proofErr w:type="spellStart"/>
      <w:r w:rsidR="0051324C">
        <w:rPr>
          <w:rFonts w:cstheme="minorHAnsi"/>
          <w:color w:val="000000"/>
          <w:sz w:val="24"/>
          <w:szCs w:val="24"/>
          <w:lang w:val="fr-FR"/>
        </w:rPr>
        <w:t>co-tutelle</w:t>
      </w:r>
      <w:proofErr w:type="spellEnd"/>
      <w:r w:rsidR="0051324C">
        <w:rPr>
          <w:rFonts w:cstheme="minorHAnsi"/>
          <w:color w:val="000000"/>
          <w:sz w:val="24"/>
          <w:szCs w:val="24"/>
          <w:lang w:val="fr-FR"/>
        </w:rPr>
        <w:t>)</w:t>
      </w:r>
    </w:p>
    <w:p w:rsidR="007659D0" w:rsidRPr="007659D0" w:rsidRDefault="007659D0" w:rsidP="007659D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Copie </w:t>
      </w:r>
      <w:r w:rsidRPr="007659D0">
        <w:rPr>
          <w:rFonts w:cstheme="minorHAnsi"/>
          <w:color w:val="000000"/>
          <w:sz w:val="24"/>
          <w:szCs w:val="24"/>
          <w:lang w:val="fr-FR"/>
        </w:rPr>
        <w:t>signée, par le candidat e</w:t>
      </w:r>
      <w:r w:rsidR="00BA3544">
        <w:rPr>
          <w:rFonts w:cstheme="minorHAnsi"/>
          <w:color w:val="000000"/>
          <w:sz w:val="24"/>
          <w:szCs w:val="24"/>
          <w:lang w:val="fr-FR"/>
        </w:rPr>
        <w:t>t le directeur de thèse à l’USJ</w:t>
      </w:r>
      <w:bookmarkStart w:id="0" w:name="_GoBack"/>
      <w:bookmarkEnd w:id="0"/>
      <w:r w:rsidRPr="007659D0">
        <w:rPr>
          <w:rFonts w:cstheme="minorHAnsi"/>
          <w:color w:val="000000"/>
          <w:sz w:val="24"/>
          <w:szCs w:val="24"/>
          <w:lang w:val="fr-FR"/>
        </w:rPr>
        <w:t xml:space="preserve">, de la couverture de la Charte d’éthique et de déontologie du CNRS-L (disponible sur </w:t>
      </w:r>
      <w:hyperlink r:id="rId8" w:history="1">
        <w:r w:rsidRPr="00353214">
          <w:rPr>
            <w:rStyle w:val="Hyperlink"/>
            <w:rFonts w:cstheme="minorHAnsi"/>
            <w:sz w:val="24"/>
            <w:szCs w:val="24"/>
            <w:lang w:val="fr-FR"/>
          </w:rPr>
          <w:t>www.cnrs.edu.lb</w:t>
        </w:r>
      </w:hyperlink>
      <w:r w:rsidRPr="007659D0">
        <w:rPr>
          <w:rFonts w:cstheme="minorHAnsi"/>
          <w:color w:val="000000"/>
          <w:sz w:val="24"/>
          <w:szCs w:val="24"/>
          <w:lang w:val="fr-FR"/>
        </w:rPr>
        <w:t>)</w:t>
      </w:r>
    </w:p>
    <w:p w:rsidR="00DC7A5D" w:rsidRPr="00DC7A5D" w:rsidRDefault="00DC7A5D" w:rsidP="007659D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DC7A5D">
        <w:rPr>
          <w:rFonts w:cstheme="minorHAnsi"/>
          <w:sz w:val="24"/>
          <w:szCs w:val="24"/>
          <w:lang w:val="fr-FR"/>
        </w:rPr>
        <w:t>Le tableau d’éthique (</w:t>
      </w:r>
      <w:r w:rsidR="00FC3253" w:rsidRPr="00FC3253">
        <w:rPr>
          <w:rFonts w:cstheme="minorHAnsi"/>
          <w:i/>
          <w:iCs/>
          <w:sz w:val="24"/>
          <w:szCs w:val="24"/>
          <w:lang w:val="fr-FR"/>
        </w:rPr>
        <w:t>à</w:t>
      </w:r>
      <w:r w:rsidR="00FC3253">
        <w:rPr>
          <w:rFonts w:cstheme="minorHAnsi"/>
          <w:sz w:val="24"/>
          <w:szCs w:val="24"/>
          <w:lang w:val="fr-FR"/>
        </w:rPr>
        <w:t xml:space="preserve"> </w:t>
      </w:r>
      <w:r w:rsidRPr="00430A48">
        <w:rPr>
          <w:rFonts w:cstheme="minorHAnsi"/>
          <w:i/>
          <w:iCs/>
          <w:sz w:val="24"/>
          <w:szCs w:val="24"/>
          <w:lang w:val="fr-FR"/>
        </w:rPr>
        <w:t>télécharger</w:t>
      </w:r>
      <w:r w:rsidRPr="00DC7A5D">
        <w:rPr>
          <w:rFonts w:cstheme="minorHAnsi"/>
          <w:sz w:val="24"/>
          <w:szCs w:val="24"/>
          <w:lang w:val="fr-FR"/>
        </w:rPr>
        <w:t>).</w:t>
      </w:r>
    </w:p>
    <w:p w:rsidR="00F53414" w:rsidRPr="00F83D3F" w:rsidRDefault="00F53414" w:rsidP="00DC7A5D">
      <w:pPr>
        <w:pStyle w:val="ListParagraph"/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</w:p>
    <w:p w:rsidR="008F0BD7" w:rsidRPr="007F0A60" w:rsidRDefault="008F0BD7" w:rsidP="00F53414">
      <w:pPr>
        <w:autoSpaceDE w:val="0"/>
        <w:ind w:right="-67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(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Dépôt des dossiers, jusqu’au </w:t>
      </w:r>
      <w:r w:rsidR="0051324C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16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</w:t>
      </w:r>
      <w:r w:rsidR="00F53414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mai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201</w:t>
      </w:r>
      <w:r w:rsidR="00F53414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9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1C3B06" w:rsidRDefault="002A43B9" w:rsidP="00F53414">
      <w:pPr>
        <w:jc w:val="both"/>
        <w:rPr>
          <w:rFonts w:asciiTheme="minorHAnsi" w:hAnsiTheme="minorHAnsi" w:cstheme="minorBidi"/>
          <w:lang w:val="fr-FR"/>
        </w:rPr>
      </w:pPr>
      <w:r w:rsidRPr="002A43B9">
        <w:rPr>
          <w:rFonts w:asciiTheme="minorHAnsi" w:hAnsiTheme="minorHAnsi" w:cstheme="minorBidi"/>
          <w:lang w:val="fr-FR"/>
        </w:rPr>
        <w:t xml:space="preserve">Pour info : </w:t>
      </w:r>
      <w:r>
        <w:rPr>
          <w:rFonts w:asciiTheme="minorHAnsi" w:hAnsiTheme="minorHAnsi" w:cstheme="minorBidi"/>
          <w:lang w:val="fr-FR"/>
        </w:rPr>
        <w:t>Dr Tamara Elzein (</w:t>
      </w:r>
      <w:hyperlink r:id="rId9" w:history="1">
        <w:r w:rsidR="00F53414" w:rsidRPr="00415986">
          <w:rPr>
            <w:rStyle w:val="Hyperlink"/>
            <w:rFonts w:asciiTheme="minorHAnsi" w:hAnsiTheme="minorHAnsi" w:cstheme="minorBidi"/>
            <w:lang w:val="fr-FR"/>
          </w:rPr>
          <w:t>tamara.elzein@cnrs.edu.lb</w:t>
        </w:r>
      </w:hyperlink>
      <w:r>
        <w:rPr>
          <w:rFonts w:asciiTheme="minorHAnsi" w:hAnsiTheme="minorHAnsi" w:cstheme="minorBidi"/>
          <w:lang w:val="fr-FR"/>
        </w:rPr>
        <w:t>)</w:t>
      </w:r>
      <w:r w:rsidR="00F53414">
        <w:rPr>
          <w:rFonts w:asciiTheme="minorHAnsi" w:hAnsiTheme="minorHAnsi" w:cstheme="minorBidi"/>
          <w:lang w:val="fr-FR"/>
        </w:rPr>
        <w:t xml:space="preserve"> et Mme </w:t>
      </w:r>
      <w:proofErr w:type="spellStart"/>
      <w:r w:rsidR="00F53414">
        <w:rPr>
          <w:rFonts w:asciiTheme="minorHAnsi" w:hAnsiTheme="minorHAnsi" w:cstheme="minorBidi"/>
          <w:lang w:val="fr-FR"/>
        </w:rPr>
        <w:t>Soha</w:t>
      </w:r>
      <w:proofErr w:type="spellEnd"/>
      <w:r w:rsidR="00F53414">
        <w:rPr>
          <w:rFonts w:asciiTheme="minorHAnsi" w:hAnsiTheme="minorHAnsi" w:cstheme="minorBidi"/>
          <w:lang w:val="fr-FR"/>
        </w:rPr>
        <w:t xml:space="preserve"> Daou (</w:t>
      </w:r>
      <w:hyperlink r:id="rId10" w:history="1">
        <w:r w:rsidR="00DC7A5D" w:rsidRPr="00415986">
          <w:rPr>
            <w:rStyle w:val="Hyperlink"/>
            <w:rFonts w:asciiTheme="minorHAnsi" w:hAnsiTheme="minorHAnsi" w:cstheme="minorBidi"/>
            <w:lang w:val="fr-FR"/>
          </w:rPr>
          <w:t>soha.daou@usj.edu.lb</w:t>
        </w:r>
      </w:hyperlink>
      <w:r w:rsidR="00F53414">
        <w:rPr>
          <w:rFonts w:asciiTheme="minorHAnsi" w:hAnsiTheme="minorHAnsi" w:cstheme="minorBidi"/>
          <w:lang w:val="fr-FR"/>
        </w:rPr>
        <w:t>)</w:t>
      </w:r>
    </w:p>
    <w:p w:rsidR="00DC7A5D" w:rsidRDefault="00DC7A5D" w:rsidP="00F53414">
      <w:pPr>
        <w:jc w:val="both"/>
        <w:rPr>
          <w:rFonts w:asciiTheme="minorHAnsi" w:hAnsiTheme="minorHAnsi" w:cstheme="minorBidi"/>
          <w:lang w:val="fr-FR"/>
        </w:rPr>
      </w:pPr>
    </w:p>
    <w:p w:rsidR="00DC7A5D" w:rsidRPr="00DC7A5D" w:rsidRDefault="00D71455" w:rsidP="00CA0D4C">
      <w:pPr>
        <w:autoSpaceDE w:val="0"/>
        <w:ind w:right="-1620"/>
        <w:rPr>
          <w:rFonts w:ascii="Calibri" w:hAnsi="Calibri"/>
          <w:sz w:val="22"/>
          <w:szCs w:val="22"/>
          <w:lang w:val="fr-FR"/>
        </w:rPr>
      </w:pPr>
      <w:r w:rsidRPr="00DC7A5D">
        <w:rPr>
          <w:rFonts w:ascii="Calibri" w:hAnsi="Calibri"/>
          <w:sz w:val="22"/>
          <w:szCs w:val="22"/>
          <w:lang w:val="fr-FR"/>
        </w:rPr>
        <w:lastRenderedPageBreak/>
        <w:t>Annexe :</w:t>
      </w:r>
      <w:r w:rsidR="00DC7A5D" w:rsidRPr="00DC7A5D">
        <w:rPr>
          <w:rFonts w:ascii="Calibri" w:hAnsi="Calibri" w:hint="cs"/>
          <w:sz w:val="22"/>
          <w:szCs w:val="22"/>
          <w:rtl/>
        </w:rPr>
        <w:t xml:space="preserve">    </w:t>
      </w:r>
      <w:r w:rsidR="00DC7A5D" w:rsidRPr="00DC7A5D">
        <w:rPr>
          <w:rFonts w:ascii="Calibri" w:hAnsi="Calibri"/>
          <w:sz w:val="22"/>
          <w:szCs w:val="22"/>
          <w:lang w:val="fr-FR"/>
        </w:rPr>
        <w:t xml:space="preserve">thématiques prioritaires pour les bourses doctorales </w:t>
      </w:r>
      <w:r w:rsidR="00CA0D4C">
        <w:rPr>
          <w:rFonts w:ascii="Calibri" w:hAnsi="Calibri"/>
          <w:sz w:val="22"/>
          <w:szCs w:val="22"/>
          <w:lang w:val="fr-FR"/>
        </w:rPr>
        <w:t>2019-2020</w:t>
      </w:r>
      <w:r w:rsidR="00DC7A5D" w:rsidRPr="00DC7A5D">
        <w:rPr>
          <w:rFonts w:ascii="Calibri" w:hAnsi="Calibr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language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Arabization of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Social mutation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</w:t>
            </w:r>
            <w:r w:rsidRPr="00DC7A5D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Business,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    Environmental law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DC7A5D" w:rsidRPr="00DC7A5D" w:rsidTr="00DE746B">
        <w:trPr>
          <w:trHeight w:val="170"/>
        </w:trPr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DC7A5D" w:rsidRPr="00DC7A5D" w:rsidTr="00DE746B">
        <w:trPr>
          <w:trHeight w:val="170"/>
        </w:trPr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&amp;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Particle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physics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Forensic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Artificial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intelligence</w:t>
            </w:r>
          </w:p>
        </w:tc>
      </w:tr>
    </w:tbl>
    <w:p w:rsidR="00DC7A5D" w:rsidRPr="00DC7A5D" w:rsidRDefault="00DC7A5D" w:rsidP="00DC7A5D">
      <w:pPr>
        <w:rPr>
          <w:lang w:val="fr-FR"/>
        </w:rPr>
      </w:pPr>
    </w:p>
    <w:p w:rsidR="00DC7A5D" w:rsidRPr="002A43B9" w:rsidRDefault="00DC7A5D" w:rsidP="00F53414">
      <w:pPr>
        <w:jc w:val="both"/>
        <w:rPr>
          <w:rFonts w:asciiTheme="minorHAnsi" w:hAnsiTheme="minorHAnsi" w:cstheme="minorBidi"/>
          <w:lang w:val="fr-FR"/>
        </w:rPr>
      </w:pPr>
    </w:p>
    <w:sectPr w:rsidR="00DC7A5D" w:rsidRPr="002A43B9" w:rsidSect="00DC7A5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7"/>
    <w:rsid w:val="0027402B"/>
    <w:rsid w:val="002A43B9"/>
    <w:rsid w:val="002A5278"/>
    <w:rsid w:val="00322796"/>
    <w:rsid w:val="00430A48"/>
    <w:rsid w:val="00455BFB"/>
    <w:rsid w:val="0051324C"/>
    <w:rsid w:val="007659D0"/>
    <w:rsid w:val="008774B3"/>
    <w:rsid w:val="008F0BD7"/>
    <w:rsid w:val="00992421"/>
    <w:rsid w:val="00BA3544"/>
    <w:rsid w:val="00BD005C"/>
    <w:rsid w:val="00CA0D4C"/>
    <w:rsid w:val="00D71455"/>
    <w:rsid w:val="00DC7A5D"/>
    <w:rsid w:val="00E40874"/>
    <w:rsid w:val="00F53414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4DE2A0-10F6-413B-8174-6779CDEF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0BD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rsid w:val="008F0BD7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rsid w:val="008F0BD7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8F0BD7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rsid w:val="008F0BD7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link w:val="Heading5Char"/>
    <w:rsid w:val="008F0BD7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rsid w:val="008F0BD7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link w:val="Heading7Char"/>
    <w:rsid w:val="008F0BD7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link w:val="Heading8Char"/>
    <w:rsid w:val="008F0BD7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link w:val="Heading9Char"/>
    <w:rsid w:val="008F0BD7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BD7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8F0BD7"/>
    <w:rPr>
      <w:rFonts w:ascii="Garamond-BookCondensedItalic;Ti" w:eastAsia="Times New Roman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rsid w:val="008F0BD7"/>
    <w:rPr>
      <w:rFonts w:ascii="Garamond-LightCondensed;Times N" w:eastAsia="Times New Roma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basedOn w:val="DefaultParagraphFont"/>
    <w:link w:val="Heading4"/>
    <w:rsid w:val="008F0BD7"/>
    <w:rPr>
      <w:rFonts w:ascii="Garamond-BookCondensed;Times Ne" w:eastAsia="Times New Roman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basedOn w:val="DefaultParagraphFont"/>
    <w:link w:val="Heading5"/>
    <w:rsid w:val="008F0BD7"/>
    <w:rPr>
      <w:rFonts w:ascii="Garamond-BookCondensed;Times Ne" w:eastAsia="Times New Roman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8F0BD7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8F0BD7"/>
    <w:rPr>
      <w:rFonts w:ascii="Garamond" w:eastAsia="Times New Roman" w:hAnsi="Garamond" w:cs="Garamond"/>
      <w:sz w:val="48"/>
      <w:szCs w:val="48"/>
      <w:lang w:eastAsia="zh-CN"/>
    </w:rPr>
  </w:style>
  <w:style w:type="character" w:customStyle="1" w:styleId="Heading8Char">
    <w:name w:val="Heading 8 Char"/>
    <w:basedOn w:val="DefaultParagraphFont"/>
    <w:link w:val="Heading8"/>
    <w:rsid w:val="008F0BD7"/>
    <w:rPr>
      <w:rFonts w:ascii="Garamond-BookCondensed;Times Ne" w:eastAsia="Times New Roman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rsid w:val="008F0BD7"/>
    <w:rPr>
      <w:rFonts w:ascii="Garamond-BookCondensedItalic;Ti" w:eastAsia="Times New Roman" w:hAnsi="Garamond-BookCondensedItalic;Ti" w:cs="Garamond-BookCondensedItalic;Ti"/>
      <w:i/>
      <w:iCs/>
      <w:color w:val="000000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8F0BD7"/>
    <w:pPr>
      <w:spacing w:after="0" w:line="240" w:lineRule="auto"/>
    </w:pPr>
    <w:rPr>
      <w:rFonts w:eastAsiaTheme="minorEastAsia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BD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53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rs.edu.l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ra.elzein@cnrs.edu.l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oha.daou@usj.edu.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a.elzein@cnrs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ELZEIN</dc:creator>
  <cp:keywords/>
  <dc:description/>
  <cp:lastModifiedBy>Rana Chehab</cp:lastModifiedBy>
  <cp:revision>8</cp:revision>
  <dcterms:created xsi:type="dcterms:W3CDTF">2019-03-03T09:36:00Z</dcterms:created>
  <dcterms:modified xsi:type="dcterms:W3CDTF">2019-03-21T10:52:00Z</dcterms:modified>
</cp:coreProperties>
</file>