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E7" w:rsidRPr="001E7BBD" w:rsidRDefault="001862E7" w:rsidP="001862E7">
      <w:pPr>
        <w:rPr>
          <w:rFonts w:ascii="Times New Roman" w:eastAsia="Times New Roman" w:hAnsi="Times New Roman" w:cs="Times New Roman"/>
          <w:sz w:val="28"/>
          <w:szCs w:val="28"/>
        </w:rPr>
      </w:pPr>
      <w:bookmarkStart w:id="0" w:name="_GoBack"/>
      <w:bookmarkEnd w:id="0"/>
    </w:p>
    <w:p w:rsidR="001862E7" w:rsidRPr="00A72ECF" w:rsidRDefault="001862E7" w:rsidP="001862E7">
      <w:pPr>
        <w:rPr>
          <w:rFonts w:ascii="Times New Roman" w:eastAsia="Times New Roman" w:hAnsi="Times New Roman" w:cs="Times New Roman"/>
          <w:sz w:val="32"/>
          <w:szCs w:val="32"/>
        </w:rPr>
      </w:pPr>
    </w:p>
    <w:p w:rsidR="001862E7" w:rsidRPr="00A72ECF" w:rsidRDefault="001862E7" w:rsidP="001862E7">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A72ECF">
        <w:rPr>
          <w:rFonts w:ascii="Times New Roman" w:eastAsia="Times New Roman" w:hAnsi="Times New Roman" w:cs="Times New Roman"/>
          <w:b/>
          <w:bCs/>
          <w:color w:val="000000"/>
          <w:sz w:val="32"/>
          <w:szCs w:val="32"/>
        </w:rPr>
        <w:t>REQUESTING FUND</w:t>
      </w:r>
      <w:r>
        <w:rPr>
          <w:rFonts w:ascii="Times New Roman" w:eastAsia="Times New Roman" w:hAnsi="Times New Roman" w:cs="Times New Roman"/>
          <w:b/>
          <w:bCs/>
          <w:color w:val="000000"/>
          <w:sz w:val="32"/>
          <w:szCs w:val="32"/>
        </w:rPr>
        <w:t xml:space="preserve"> </w:t>
      </w:r>
    </w:p>
    <w:p w:rsidR="001862E7" w:rsidRDefault="001862E7" w:rsidP="001862E7">
      <w:pPr>
        <w:jc w:val="both"/>
        <w:textAlignment w:val="top"/>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The maximum CNRS-L fund per research project should range between 10 to 20 Million Lebanese Pound per year.</w:t>
      </w:r>
    </w:p>
    <w:p w:rsidR="001862E7" w:rsidRPr="00DB699B" w:rsidRDefault="001862E7" w:rsidP="001862E7">
      <w:pPr>
        <w:jc w:val="both"/>
        <w:textAlignment w:val="top"/>
        <w:rPr>
          <w:rFonts w:ascii="Times New Roman" w:eastAsia="Times New Roman" w:hAnsi="Times New Roman" w:cs="Times New Roman"/>
          <w:b/>
          <w:i/>
          <w:color w:val="000000"/>
          <w:sz w:val="28"/>
          <w:szCs w:val="28"/>
        </w:rPr>
      </w:pPr>
      <w:r w:rsidRPr="001E7BBD">
        <w:rPr>
          <w:rFonts w:ascii="Times New Roman" w:eastAsia="Times New Roman" w:hAnsi="Times New Roman" w:cs="Times New Roman"/>
          <w:color w:val="000000"/>
          <w:sz w:val="28"/>
          <w:szCs w:val="28"/>
        </w:rPr>
        <w:br/>
      </w:r>
      <w:r w:rsidRPr="00DB699B">
        <w:rPr>
          <w:rFonts w:ascii="Times New Roman" w:eastAsia="Times New Roman" w:hAnsi="Times New Roman" w:cs="Times New Roman"/>
          <w:b/>
          <w:color w:val="000000"/>
          <w:sz w:val="28"/>
          <w:szCs w:val="28"/>
        </w:rPr>
        <w:t>A.- Requested contribution from the CNRS</w:t>
      </w:r>
      <w:r>
        <w:rPr>
          <w:rFonts w:ascii="Times New Roman" w:eastAsia="Times New Roman" w:hAnsi="Times New Roman" w:cs="Times New Roman"/>
          <w:b/>
          <w:color w:val="000000"/>
          <w:sz w:val="28"/>
          <w:szCs w:val="28"/>
        </w:rPr>
        <w:t>-L</w:t>
      </w:r>
      <w:r w:rsidRPr="00DB699B">
        <w:rPr>
          <w:rFonts w:ascii="Times New Roman" w:eastAsia="Times New Roman" w:hAnsi="Times New Roman" w:cs="Times New Roman"/>
          <w:b/>
          <w:color w:val="000000"/>
          <w:sz w:val="28"/>
          <w:szCs w:val="28"/>
        </w:rPr>
        <w:t xml:space="preserve"> (LBP)</w:t>
      </w:r>
      <w:r w:rsidRPr="00DB699B">
        <w:rPr>
          <w:rFonts w:ascii="Times New Roman" w:eastAsia="Times New Roman" w:hAnsi="Times New Roman" w:cs="Times New Roman"/>
          <w:b/>
          <w:color w:val="000000"/>
          <w:sz w:val="28"/>
          <w:szCs w:val="28"/>
        </w:rPr>
        <w:br/>
      </w:r>
      <w:r w:rsidRPr="00F92B58">
        <w:rPr>
          <w:rFonts w:ascii="Times New Roman" w:eastAsia="Times New Roman" w:hAnsi="Times New Roman" w:cs="Times New Roman"/>
          <w:b/>
          <w:i/>
          <w:color w:val="548DD4" w:themeColor="text2" w:themeTint="99"/>
          <w:sz w:val="28"/>
          <w:szCs w:val="28"/>
        </w:rPr>
        <w:t xml:space="preserve">Applicable for researchers affiliated to </w:t>
      </w:r>
      <w:proofErr w:type="spellStart"/>
      <w:r>
        <w:rPr>
          <w:rFonts w:ascii="Times New Roman" w:eastAsia="Times New Roman" w:hAnsi="Times New Roman" w:cs="Times New Roman"/>
          <w:b/>
          <w:i/>
          <w:color w:val="548DD4" w:themeColor="text2" w:themeTint="99"/>
          <w:sz w:val="28"/>
          <w:szCs w:val="28"/>
        </w:rPr>
        <w:t>Antonine</w:t>
      </w:r>
      <w:proofErr w:type="spellEnd"/>
      <w:r>
        <w:rPr>
          <w:rFonts w:ascii="Times New Roman" w:eastAsia="Times New Roman" w:hAnsi="Times New Roman" w:cs="Times New Roman"/>
          <w:b/>
          <w:i/>
          <w:color w:val="548DD4" w:themeColor="text2" w:themeTint="99"/>
          <w:sz w:val="28"/>
          <w:szCs w:val="28"/>
        </w:rPr>
        <w:t xml:space="preserve"> University</w:t>
      </w:r>
    </w:p>
    <w:p w:rsidR="001862E7" w:rsidRDefault="001862E7" w:rsidP="001862E7">
      <w:pPr>
        <w:jc w:val="both"/>
        <w:textAlignment w:val="top"/>
        <w:rPr>
          <w:rFonts w:ascii="Times New Roman" w:eastAsia="Times New Roman" w:hAnsi="Times New Roman" w:cs="Times New Roman"/>
          <w:i/>
          <w:color w:val="000000"/>
          <w:sz w:val="28"/>
          <w:szCs w:val="28"/>
        </w:rPr>
      </w:pPr>
    </w:p>
    <w:tbl>
      <w:tblPr>
        <w:tblStyle w:val="TableGrid"/>
        <w:tblW w:w="7308" w:type="dxa"/>
        <w:shd w:val="clear" w:color="auto" w:fill="BFBFBF" w:themeFill="background1" w:themeFillShade="BF"/>
        <w:tblLook w:val="04A0" w:firstRow="1" w:lastRow="0" w:firstColumn="1" w:lastColumn="0" w:noHBand="0" w:noVBand="1"/>
      </w:tblPr>
      <w:tblGrid>
        <w:gridCol w:w="3978"/>
        <w:gridCol w:w="1260"/>
        <w:gridCol w:w="2070"/>
      </w:tblGrid>
      <w:tr w:rsidR="001862E7" w:rsidTr="001862E7">
        <w:trPr>
          <w:trHeight w:val="660"/>
        </w:trPr>
        <w:tc>
          <w:tcPr>
            <w:tcW w:w="7308" w:type="dxa"/>
            <w:gridSpan w:val="3"/>
            <w:shd w:val="clear" w:color="auto" w:fill="B8CCE4" w:themeFill="accent1" w:themeFillTint="66"/>
            <w:vAlign w:val="center"/>
          </w:tcPr>
          <w:p w:rsidR="001862E7" w:rsidRDefault="001862E7" w:rsidP="001862E7">
            <w:pPr>
              <w:jc w:val="center"/>
              <w:rPr>
                <w:rFonts w:ascii="Times New Roman" w:hAnsi="Times New Roman" w:cs="Times New Roman"/>
                <w:b w:val="0"/>
                <w:color w:val="000000"/>
                <w:sz w:val="28"/>
                <w:szCs w:val="28"/>
                <w:vertAlign w:val="superscript"/>
              </w:rPr>
            </w:pPr>
            <w:r>
              <w:rPr>
                <w:rFonts w:ascii="Times New Roman" w:hAnsi="Times New Roman" w:cs="Times New Roman"/>
                <w:color w:val="000000"/>
                <w:sz w:val="28"/>
                <w:szCs w:val="28"/>
              </w:rPr>
              <w:t>Budget distribution for joint projects (Co-funded between the CNRS-L and the University)</w:t>
            </w:r>
            <w:r>
              <w:rPr>
                <w:rFonts w:ascii="Times New Roman" w:hAnsi="Times New Roman" w:cs="Times New Roman"/>
                <w:color w:val="000000"/>
                <w:sz w:val="28"/>
                <w:szCs w:val="28"/>
                <w:vertAlign w:val="superscript"/>
              </w:rPr>
              <w:t>*</w:t>
            </w:r>
          </w:p>
          <w:p w:rsidR="001862E7" w:rsidRDefault="001862E7" w:rsidP="001862E7">
            <w:pPr>
              <w:jc w:val="center"/>
              <w:rPr>
                <w:rFonts w:ascii="Times New Roman" w:hAnsi="Times New Roman" w:cs="Times New Roman"/>
                <w:b w:val="0"/>
                <w:color w:val="000000"/>
                <w:sz w:val="28"/>
                <w:szCs w:val="28"/>
              </w:rPr>
            </w:pPr>
            <w:r w:rsidRPr="007E6634">
              <w:rPr>
                <w:rFonts w:ascii="Times New Roman" w:hAnsi="Times New Roman" w:cs="Times New Roman"/>
                <w:color w:val="000000"/>
                <w:sz w:val="28"/>
                <w:szCs w:val="28"/>
              </w:rPr>
              <w:t>Maximum % of the total funding</w:t>
            </w:r>
          </w:p>
        </w:tc>
      </w:tr>
      <w:tr w:rsidR="001862E7" w:rsidTr="001862E7">
        <w:trPr>
          <w:trHeight w:val="660"/>
        </w:trPr>
        <w:tc>
          <w:tcPr>
            <w:tcW w:w="3978"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eastAsia="Times New Roman" w:hAnsi="Times New Roman" w:cs="Times New Roman"/>
                <w:b w:val="0"/>
                <w:i w:val="0"/>
                <w:color w:val="000000"/>
                <w:sz w:val="28"/>
                <w:szCs w:val="28"/>
              </w:rPr>
              <w:t>Description</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CNRS-L</w:t>
            </w:r>
          </w:p>
        </w:tc>
        <w:tc>
          <w:tcPr>
            <w:tcW w:w="2070" w:type="dxa"/>
            <w:shd w:val="clear" w:color="auto" w:fill="B8CCE4" w:themeFill="accent1" w:themeFillTint="66"/>
            <w:vAlign w:val="center"/>
          </w:tcPr>
          <w:p w:rsidR="001862E7" w:rsidRPr="001862E7" w:rsidRDefault="00A46914" w:rsidP="005F0D80">
            <w:pPr>
              <w:jc w:val="center"/>
              <w:rPr>
                <w:rFonts w:ascii="Times New Roman" w:hAnsi="Times New Roman" w:cs="Times New Roman"/>
                <w:b w:val="0"/>
                <w:i w:val="0"/>
                <w:color w:val="000000"/>
                <w:sz w:val="28"/>
                <w:szCs w:val="28"/>
              </w:rPr>
            </w:pPr>
            <w:proofErr w:type="spellStart"/>
            <w:r>
              <w:rPr>
                <w:rFonts w:ascii="Times New Roman" w:hAnsi="Times New Roman" w:cs="Times New Roman"/>
                <w:b w:val="0"/>
                <w:i w:val="0"/>
                <w:color w:val="000000"/>
                <w:sz w:val="28"/>
                <w:szCs w:val="28"/>
              </w:rPr>
              <w:t>Université</w:t>
            </w:r>
            <w:proofErr w:type="spellEnd"/>
            <w:r>
              <w:rPr>
                <w:rFonts w:ascii="Times New Roman" w:hAnsi="Times New Roman" w:cs="Times New Roman"/>
                <w:b w:val="0"/>
                <w:i w:val="0"/>
                <w:color w:val="000000"/>
                <w:sz w:val="28"/>
                <w:szCs w:val="28"/>
              </w:rPr>
              <w:t xml:space="preserve"> </w:t>
            </w:r>
            <w:proofErr w:type="spellStart"/>
            <w:r w:rsidR="001862E7" w:rsidRPr="001862E7">
              <w:rPr>
                <w:rFonts w:ascii="Times New Roman" w:hAnsi="Times New Roman" w:cs="Times New Roman"/>
                <w:b w:val="0"/>
                <w:i w:val="0"/>
                <w:color w:val="000000"/>
                <w:sz w:val="28"/>
                <w:szCs w:val="28"/>
              </w:rPr>
              <w:t>Antonine</w:t>
            </w:r>
            <w:proofErr w:type="spellEnd"/>
            <w:r w:rsidR="001862E7" w:rsidRPr="001862E7">
              <w:rPr>
                <w:rFonts w:ascii="Times New Roman" w:hAnsi="Times New Roman" w:cs="Times New Roman"/>
                <w:b w:val="0"/>
                <w:i w:val="0"/>
                <w:color w:val="000000"/>
                <w:sz w:val="28"/>
                <w:szCs w:val="28"/>
              </w:rPr>
              <w:t xml:space="preserve"> </w:t>
            </w:r>
          </w:p>
        </w:tc>
      </w:tr>
      <w:tr w:rsidR="001862E7" w:rsidTr="001862E7">
        <w:trPr>
          <w:trHeight w:val="1155"/>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Indemnities for research assistant or M.Sc. students working within the project</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40</w:t>
            </w:r>
          </w:p>
        </w:tc>
        <w:tc>
          <w:tcPr>
            <w:tcW w:w="2070" w:type="dxa"/>
            <w:shd w:val="clear" w:color="auto" w:fill="B8CCE4" w:themeFill="accent1" w:themeFillTint="66"/>
            <w:vAlign w:val="center"/>
          </w:tcPr>
          <w:p w:rsidR="001862E7" w:rsidRPr="008F77C1" w:rsidRDefault="00897CCD" w:rsidP="005F0D80">
            <w:pPr>
              <w:jc w:val="center"/>
              <w:rPr>
                <w:rFonts w:ascii="Times New Roman" w:hAnsi="Times New Roman" w:cs="Times New Roman"/>
                <w:color w:val="000000"/>
                <w:sz w:val="28"/>
                <w:szCs w:val="28"/>
              </w:rPr>
            </w:pPr>
            <w:r>
              <w:rPr>
                <w:rFonts w:ascii="Times New Roman" w:hAnsi="Times New Roman" w:cs="Times New Roman" w:hint="cs"/>
                <w:color w:val="000000"/>
                <w:sz w:val="28"/>
                <w:szCs w:val="28"/>
                <w:rtl/>
              </w:rPr>
              <w:t>40</w:t>
            </w:r>
          </w:p>
        </w:tc>
      </w:tr>
      <w:tr w:rsidR="001862E7" w:rsidTr="001862E7">
        <w:trPr>
          <w:trHeight w:val="993"/>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Consumable, experimental costs and laboratory testing</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40</w:t>
            </w:r>
          </w:p>
        </w:tc>
        <w:tc>
          <w:tcPr>
            <w:tcW w:w="2070" w:type="dxa"/>
            <w:shd w:val="clear" w:color="auto" w:fill="B8CCE4" w:themeFill="accent1" w:themeFillTint="66"/>
            <w:vAlign w:val="center"/>
          </w:tcPr>
          <w:p w:rsidR="001862E7" w:rsidRPr="008F77C1" w:rsidRDefault="00897CCD" w:rsidP="005F0D80">
            <w:pPr>
              <w:jc w:val="center"/>
              <w:rPr>
                <w:rFonts w:ascii="Times New Roman" w:hAnsi="Times New Roman" w:cs="Times New Roman"/>
                <w:color w:val="000000"/>
                <w:sz w:val="28"/>
                <w:szCs w:val="28"/>
              </w:rPr>
            </w:pPr>
            <w:r>
              <w:rPr>
                <w:rFonts w:ascii="Times New Roman" w:hAnsi="Times New Roman" w:cs="Times New Roman" w:hint="cs"/>
                <w:color w:val="000000"/>
                <w:sz w:val="28"/>
                <w:szCs w:val="28"/>
                <w:rtl/>
              </w:rPr>
              <w:t>0</w:t>
            </w:r>
          </w:p>
        </w:tc>
      </w:tr>
      <w:tr w:rsidR="001862E7" w:rsidTr="001862E7">
        <w:trPr>
          <w:trHeight w:val="849"/>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Clinical, Field work or survey costs (expenses &amp; labor)</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20</w:t>
            </w:r>
          </w:p>
        </w:tc>
        <w:tc>
          <w:tcPr>
            <w:tcW w:w="2070" w:type="dxa"/>
            <w:shd w:val="clear" w:color="auto" w:fill="B8CCE4" w:themeFill="accent1" w:themeFillTint="66"/>
            <w:vAlign w:val="center"/>
          </w:tcPr>
          <w:p w:rsidR="001862E7" w:rsidRPr="008F77C1" w:rsidRDefault="00A46914" w:rsidP="005F0D80">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1862E7" w:rsidTr="001862E7">
        <w:trPr>
          <w:trHeight w:val="822"/>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color w:val="000000"/>
                <w:sz w:val="28"/>
                <w:szCs w:val="28"/>
              </w:rPr>
            </w:pPr>
            <w:r w:rsidRPr="001862E7">
              <w:rPr>
                <w:rFonts w:ascii="Times New Roman" w:hAnsi="Times New Roman" w:cs="Times New Roman"/>
                <w:b w:val="0"/>
                <w:i w:val="0"/>
                <w:sz w:val="28"/>
                <w:szCs w:val="28"/>
              </w:rPr>
              <w:t>Participation in International Conferences: Travel cost (up to 2000 USD to European countries, up to 3000 to USA per project) + Registration fees</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w:t>
            </w:r>
          </w:p>
        </w:tc>
        <w:tc>
          <w:tcPr>
            <w:tcW w:w="2070" w:type="dxa"/>
            <w:shd w:val="clear" w:color="auto" w:fill="B8CCE4" w:themeFill="accent1" w:themeFillTint="66"/>
            <w:vAlign w:val="center"/>
          </w:tcPr>
          <w:p w:rsidR="001862E7" w:rsidRPr="005A559B" w:rsidRDefault="00897CCD" w:rsidP="005F0D80">
            <w:pPr>
              <w:jc w:val="center"/>
              <w:rPr>
                <w:rFonts w:ascii="Times New Roman" w:hAnsi="Times New Roman" w:cs="Times New Roman"/>
                <w:color w:val="000000"/>
                <w:sz w:val="28"/>
                <w:szCs w:val="28"/>
                <w:lang w:val="fr-FR"/>
              </w:rPr>
            </w:pPr>
            <w:r>
              <w:rPr>
                <w:rFonts w:ascii="Times New Roman" w:hAnsi="Times New Roman" w:cs="Times New Roman" w:hint="cs"/>
                <w:color w:val="000000"/>
                <w:sz w:val="28"/>
                <w:szCs w:val="28"/>
                <w:rtl/>
              </w:rPr>
              <w:t>25</w:t>
            </w:r>
          </w:p>
        </w:tc>
      </w:tr>
      <w:tr w:rsidR="001862E7" w:rsidTr="001862E7">
        <w:trPr>
          <w:trHeight w:val="894"/>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 xml:space="preserve">Publication and Results dissemination; subscription to database and archive (for social sciences only) </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w:t>
            </w:r>
          </w:p>
        </w:tc>
        <w:tc>
          <w:tcPr>
            <w:tcW w:w="2070" w:type="dxa"/>
            <w:shd w:val="clear" w:color="auto" w:fill="B8CCE4" w:themeFill="accent1" w:themeFillTint="66"/>
            <w:vAlign w:val="center"/>
          </w:tcPr>
          <w:p w:rsidR="001862E7" w:rsidRPr="008F77C1" w:rsidRDefault="00A46914" w:rsidP="005F0D80">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1862E7" w:rsidTr="001862E7">
        <w:trPr>
          <w:trHeight w:val="588"/>
        </w:trPr>
        <w:tc>
          <w:tcPr>
            <w:tcW w:w="3978" w:type="dxa"/>
            <w:shd w:val="clear" w:color="auto" w:fill="B8CCE4" w:themeFill="accent1" w:themeFillTint="66"/>
            <w:vAlign w:val="center"/>
          </w:tcPr>
          <w:p w:rsidR="001862E7" w:rsidRPr="001862E7" w:rsidRDefault="001862E7" w:rsidP="005F0D80">
            <w:pPr>
              <w:jc w:val="both"/>
              <w:rPr>
                <w:rFonts w:ascii="Times New Roman" w:hAnsi="Times New Roman" w:cs="Times New Roman"/>
                <w:b w:val="0"/>
                <w:i w:val="0"/>
                <w:sz w:val="28"/>
                <w:szCs w:val="28"/>
              </w:rPr>
            </w:pPr>
            <w:r w:rsidRPr="001862E7">
              <w:rPr>
                <w:rFonts w:ascii="Times New Roman" w:hAnsi="Times New Roman" w:cs="Times New Roman"/>
                <w:b w:val="0"/>
                <w:i w:val="0"/>
                <w:color w:val="000000"/>
                <w:sz w:val="28"/>
                <w:szCs w:val="28"/>
              </w:rPr>
              <w:t>Miscellaneous</w:t>
            </w:r>
          </w:p>
        </w:tc>
        <w:tc>
          <w:tcPr>
            <w:tcW w:w="1260" w:type="dxa"/>
            <w:shd w:val="clear" w:color="auto" w:fill="B8CCE4" w:themeFill="accent1" w:themeFillTint="66"/>
            <w:vAlign w:val="center"/>
          </w:tcPr>
          <w:p w:rsidR="001862E7" w:rsidRPr="001862E7" w:rsidRDefault="001862E7" w:rsidP="005F0D80">
            <w:pPr>
              <w:jc w:val="center"/>
              <w:rPr>
                <w:rFonts w:ascii="Times New Roman" w:hAnsi="Times New Roman" w:cs="Times New Roman"/>
                <w:b w:val="0"/>
                <w:i w:val="0"/>
                <w:color w:val="000000"/>
                <w:sz w:val="28"/>
                <w:szCs w:val="28"/>
              </w:rPr>
            </w:pPr>
            <w:r w:rsidRPr="001862E7">
              <w:rPr>
                <w:rFonts w:ascii="Times New Roman" w:hAnsi="Times New Roman" w:cs="Times New Roman"/>
                <w:b w:val="0"/>
                <w:i w:val="0"/>
                <w:color w:val="000000"/>
                <w:sz w:val="28"/>
                <w:szCs w:val="28"/>
              </w:rPr>
              <w:t>-</w:t>
            </w:r>
          </w:p>
        </w:tc>
        <w:tc>
          <w:tcPr>
            <w:tcW w:w="2070" w:type="dxa"/>
            <w:shd w:val="clear" w:color="auto" w:fill="B8CCE4" w:themeFill="accent1" w:themeFillTint="66"/>
            <w:vAlign w:val="center"/>
          </w:tcPr>
          <w:p w:rsidR="001862E7" w:rsidRPr="008F77C1" w:rsidRDefault="00A46914" w:rsidP="005F0D80">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1862E7" w:rsidRPr="009435E3" w:rsidRDefault="001862E7" w:rsidP="001862E7">
      <w:pPr>
        <w:pStyle w:val="ListParagraph"/>
        <w:numPr>
          <w:ilvl w:val="0"/>
          <w:numId w:val="1"/>
        </w:numPr>
        <w:tabs>
          <w:tab w:val="left" w:pos="0"/>
        </w:tabs>
        <w:spacing w:line="360" w:lineRule="auto"/>
        <w:rPr>
          <w:rFonts w:ascii="Times New Roman" w:hAnsi="Times New Roman" w:cs="Times New Roman"/>
          <w:color w:val="000000"/>
          <w:sz w:val="28"/>
          <w:szCs w:val="28"/>
        </w:rPr>
      </w:pPr>
      <w:r w:rsidRPr="00FE3CFF">
        <w:rPr>
          <w:rFonts w:ascii="Times New Roman" w:hAnsi="Times New Roman" w:cs="Times New Roman"/>
          <w:color w:val="000000"/>
          <w:sz w:val="28"/>
          <w:szCs w:val="28"/>
        </w:rPr>
        <w:t xml:space="preserve">Reference: Agreement signed between the CNRS, </w:t>
      </w:r>
      <w:r>
        <w:rPr>
          <w:rFonts w:ascii="Times New Roman" w:hAnsi="Times New Roman" w:cs="Times New Roman"/>
          <w:color w:val="000000"/>
          <w:sz w:val="28"/>
          <w:szCs w:val="28"/>
        </w:rPr>
        <w:t xml:space="preserve">and </w:t>
      </w:r>
      <w:proofErr w:type="spellStart"/>
      <w:r w:rsidR="00A46914">
        <w:rPr>
          <w:rFonts w:ascii="Times New Roman" w:hAnsi="Times New Roman" w:cs="Times New Roman"/>
          <w:b/>
          <w:i/>
          <w:color w:val="000000"/>
          <w:sz w:val="28"/>
          <w:szCs w:val="28"/>
        </w:rPr>
        <w:t>Université</w:t>
      </w:r>
      <w:proofErr w:type="spellEnd"/>
      <w:r w:rsidR="00A46914">
        <w:rPr>
          <w:rFonts w:ascii="Times New Roman" w:hAnsi="Times New Roman" w:cs="Times New Roman"/>
          <w:b/>
          <w:i/>
          <w:color w:val="000000"/>
          <w:sz w:val="28"/>
          <w:szCs w:val="28"/>
        </w:rPr>
        <w:t xml:space="preserve"> </w:t>
      </w:r>
      <w:proofErr w:type="spellStart"/>
      <w:r w:rsidR="00A46914" w:rsidRPr="001862E7">
        <w:rPr>
          <w:rFonts w:ascii="Times New Roman" w:hAnsi="Times New Roman" w:cs="Times New Roman"/>
          <w:color w:val="000000"/>
          <w:sz w:val="28"/>
          <w:szCs w:val="28"/>
        </w:rPr>
        <w:t>Antonine</w:t>
      </w:r>
      <w:proofErr w:type="spellEnd"/>
    </w:p>
    <w:p w:rsidR="001862E7" w:rsidRPr="001862E7" w:rsidRDefault="001862E7" w:rsidP="001862E7">
      <w:pPr>
        <w:tabs>
          <w:tab w:val="left" w:pos="0"/>
        </w:tabs>
        <w:spacing w:line="360" w:lineRule="auto"/>
        <w:rPr>
          <w:rFonts w:ascii="Times New Roman" w:hAnsi="Times New Roman" w:cs="Times New Roman"/>
          <w:i/>
          <w:color w:val="000000"/>
          <w:sz w:val="28"/>
          <w:szCs w:val="28"/>
        </w:rPr>
      </w:pPr>
      <w:r w:rsidRPr="001862E7">
        <w:rPr>
          <w:rFonts w:ascii="Times New Roman" w:hAnsi="Times New Roman" w:cs="Times New Roman"/>
          <w:i/>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rsidR="001862E7" w:rsidRPr="001862E7" w:rsidRDefault="001862E7" w:rsidP="001862E7">
      <w:pPr>
        <w:rPr>
          <w:rFonts w:ascii="Times New Roman" w:eastAsia="Times New Roman" w:hAnsi="Times New Roman" w:cs="Times New Roman"/>
          <w:i/>
          <w:sz w:val="28"/>
          <w:szCs w:val="28"/>
        </w:rPr>
      </w:pPr>
    </w:p>
    <w:p w:rsidR="00224955" w:rsidRPr="001862E7" w:rsidRDefault="00224955">
      <w:pPr>
        <w:rPr>
          <w:i/>
        </w:rPr>
      </w:pPr>
    </w:p>
    <w:sectPr w:rsidR="00224955" w:rsidRPr="001862E7" w:rsidSect="006726EB">
      <w:pgSz w:w="12240" w:h="15840"/>
      <w:pgMar w:top="518" w:right="1094" w:bottom="274" w:left="1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33C7A"/>
    <w:multiLevelType w:val="hybridMultilevel"/>
    <w:tmpl w:val="ED86C9DA"/>
    <w:lvl w:ilvl="0" w:tplc="3A3CA398">
      <w:start w:val="10"/>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daa Abou Mrad">
    <w15:presenceInfo w15:providerId="Windows Live" w15:userId="99faec11bccfac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E7"/>
    <w:rsid w:val="001862E7"/>
    <w:rsid w:val="00224955"/>
    <w:rsid w:val="0026319B"/>
    <w:rsid w:val="005A559B"/>
    <w:rsid w:val="006726EB"/>
    <w:rsid w:val="00897CCD"/>
    <w:rsid w:val="00A46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EastAsia" w:hAnsi="Simplified Arabic" w:cs="Simplified Arabic"/>
        <w:b/>
        <w:bCs/>
        <w:i/>
        <w:iCs/>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E7"/>
    <w:rPr>
      <w:rFonts w:asciiTheme="minorHAnsi" w:hAnsiTheme="minorHAnsi" w:cstheme="minorBidi"/>
      <w:b w:val="0"/>
      <w:bCs w:val="0"/>
      <w:i w:val="0"/>
      <w:iCs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2E7"/>
    <w:rPr>
      <w:rFonts w:asciiTheme="minorHAnsi" w:hAnsiTheme="minorHAnsi" w:cstheme="minorBidi"/>
      <w:b w:val="0"/>
      <w:bCs w:val="0"/>
      <w:i w:val="0"/>
      <w:iCs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2E7"/>
    <w:pPr>
      <w:ind w:left="720"/>
      <w:contextualSpacing/>
    </w:pPr>
  </w:style>
  <w:style w:type="paragraph" w:styleId="BalloonText">
    <w:name w:val="Balloon Text"/>
    <w:basedOn w:val="Normal"/>
    <w:link w:val="BalloonTextChar"/>
    <w:uiPriority w:val="99"/>
    <w:semiHidden/>
    <w:unhideWhenUsed/>
    <w:rsid w:val="00897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CD"/>
    <w:rPr>
      <w:rFonts w:ascii="Segoe UI" w:hAnsi="Segoe UI" w:cs="Segoe UI"/>
      <w:b w:val="0"/>
      <w:bCs w:val="0"/>
      <w:i w:val="0"/>
      <w:iCs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EastAsia" w:hAnsi="Simplified Arabic" w:cs="Simplified Arabic"/>
        <w:b/>
        <w:bCs/>
        <w:i/>
        <w:iCs/>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E7"/>
    <w:rPr>
      <w:rFonts w:asciiTheme="minorHAnsi" w:hAnsiTheme="minorHAnsi" w:cstheme="minorBidi"/>
      <w:b w:val="0"/>
      <w:bCs w:val="0"/>
      <w:i w:val="0"/>
      <w:iCs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2E7"/>
    <w:rPr>
      <w:rFonts w:asciiTheme="minorHAnsi" w:hAnsiTheme="minorHAnsi" w:cstheme="minorBidi"/>
      <w:b w:val="0"/>
      <w:bCs w:val="0"/>
      <w:i w:val="0"/>
      <w:iCs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2E7"/>
    <w:pPr>
      <w:ind w:left="720"/>
      <w:contextualSpacing/>
    </w:pPr>
  </w:style>
  <w:style w:type="paragraph" w:styleId="BalloonText">
    <w:name w:val="Balloon Text"/>
    <w:basedOn w:val="Normal"/>
    <w:link w:val="BalloonTextChar"/>
    <w:uiPriority w:val="99"/>
    <w:semiHidden/>
    <w:unhideWhenUsed/>
    <w:rsid w:val="00897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CD"/>
    <w:rPr>
      <w:rFonts w:ascii="Segoe UI" w:hAnsi="Segoe UI" w:cs="Segoe UI"/>
      <w:b w:val="0"/>
      <w:bCs w:val="0"/>
      <w:i w:val="0"/>
      <w:iC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Macintosh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Noujeim</dc:creator>
  <cp:keywords/>
  <dc:description/>
  <cp:lastModifiedBy>Elise  Noujeim</cp:lastModifiedBy>
  <cp:revision>2</cp:revision>
  <dcterms:created xsi:type="dcterms:W3CDTF">2017-09-12T07:40:00Z</dcterms:created>
  <dcterms:modified xsi:type="dcterms:W3CDTF">2017-09-12T07:40:00Z</dcterms:modified>
</cp:coreProperties>
</file>